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9B6E8C" w:rsidRDefault="009B6E8C" w:rsidP="009B6E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Dienstanweisung</w:t>
      </w:r>
    </w:p>
    <w:p w:rsidR="007A32FB" w:rsidRDefault="009B6E8C" w:rsidP="009B6E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für eine umweltgerechte Beschaffung </w:t>
      </w:r>
      <w:r w:rsidR="004C44D0" w:rsidRPr="00B03CEB">
        <w:rPr>
          <w:rFonts w:ascii="Arial" w:hAnsi="Arial" w:cs="Arial"/>
          <w:b/>
          <w:bCs/>
          <w:sz w:val="28"/>
          <w:szCs w:val="28"/>
          <w:highlight w:val="yellow"/>
        </w:rPr>
        <w:t>Musterstadt/Mustergemeinde</w:t>
      </w:r>
    </w:p>
    <w:p w:rsidR="007A32FB" w:rsidRDefault="007A32FB" w:rsidP="009B6E8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id w:val="11427762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061D1" w:rsidRDefault="007061D1">
          <w:pPr>
            <w:pStyle w:val="Inhaltsverzeichnisberschrift"/>
          </w:pPr>
          <w:r>
            <w:t>Inhaltsverzeichnis</w:t>
          </w:r>
        </w:p>
        <w:p w:rsidR="00D23234" w:rsidRDefault="007061D1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7041603" w:history="1">
            <w:r w:rsidR="00D23234" w:rsidRPr="00383D9B">
              <w:rPr>
                <w:rStyle w:val="Hyperlink"/>
                <w:noProof/>
              </w:rPr>
              <w:t>1. Allgemeine Grundsätze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_Toc57041603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3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04" w:history="1">
            <w:r w:rsidR="00D23234" w:rsidRPr="00383D9B">
              <w:rPr>
                <w:rStyle w:val="Hyperlink"/>
                <w:noProof/>
              </w:rPr>
              <w:t>2. Geltungsbereich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_Toc57041604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3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05" w:history="1">
            <w:r w:rsidR="00D23234" w:rsidRPr="00383D9B">
              <w:rPr>
                <w:rStyle w:val="Hyperlink"/>
                <w:noProof/>
              </w:rPr>
              <w:t>3. Anforderung an Produkte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_Toc57041605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3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06" w:history="1">
            <w:r w:rsidR="00D23234" w:rsidRPr="00383D9B">
              <w:rPr>
                <w:rStyle w:val="Hyperlink"/>
                <w:noProof/>
              </w:rPr>
              <w:t>4. Lebenszykluskosten als Zuschlagskriterium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_Toc57041606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4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07" w:history="1">
            <w:r w:rsidR="00D23234" w:rsidRPr="00383D9B">
              <w:rPr>
                <w:rStyle w:val="Hyperlink"/>
                <w:noProof/>
              </w:rPr>
              <w:t>5. Beschaffungskriterien für ausgewählte Produktgruppen: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_Toc57041607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4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08" w:history="1">
            <w:r w:rsidR="00D23234" w:rsidRPr="00383D9B">
              <w:rPr>
                <w:rStyle w:val="Hyperlink"/>
                <w:noProof/>
              </w:rPr>
              <w:t>5.1 Grundsätze für die Beschaffung von Büromaterialien und Papier: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_Toc57041608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4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09" w:history="1">
            <w:r w:rsidR="00D23234" w:rsidRPr="00383D9B">
              <w:rPr>
                <w:rStyle w:val="Hyperlink"/>
                <w:noProof/>
              </w:rPr>
              <w:t>5.2 Grundsätze für die Beschaffung von Büromöbeln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_Toc57041609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5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10" w:history="1">
            <w:r w:rsidR="00D23234" w:rsidRPr="00383D9B">
              <w:rPr>
                <w:rStyle w:val="Hyperlink"/>
                <w:noProof/>
              </w:rPr>
              <w:t>5.3 Grundsätze für die Beschaffung von Bürogeräten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_Toc57041610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5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11" w:history="1">
            <w:r w:rsidR="00D23234" w:rsidRPr="00383D9B">
              <w:rPr>
                <w:rStyle w:val="Hyperlink"/>
                <w:noProof/>
              </w:rPr>
              <w:t>5.4 Grundsätze für die Beschaffung von Haushaltsgroßgeräten: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_Toc57041611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6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12" w:history="1">
            <w:r w:rsidR="00D23234" w:rsidRPr="00383D9B">
              <w:rPr>
                <w:rStyle w:val="Hyperlink"/>
                <w:noProof/>
              </w:rPr>
              <w:t>5.5 Grundsätze für die Beschaffung von Reinigungsleistungen und –mitteln: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_Toc57041612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6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13" w:history="1">
            <w:r w:rsidR="00D23234" w:rsidRPr="00383D9B">
              <w:rPr>
                <w:rStyle w:val="Hyperlink"/>
                <w:noProof/>
              </w:rPr>
              <w:t>5.6 Grundsätze für die Beschaffung von Strom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_Toc57041613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6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14" w:history="1">
            <w:r w:rsidR="00D23234" w:rsidRPr="00383D9B">
              <w:rPr>
                <w:rStyle w:val="Hyperlink"/>
                <w:noProof/>
              </w:rPr>
              <w:t>5.7 Grundsätze für die Beschaffung von Fahrzeugen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_Toc57041614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7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15" w:history="1">
            <w:r w:rsidR="00D23234" w:rsidRPr="00383D9B">
              <w:rPr>
                <w:rStyle w:val="Hyperlink"/>
                <w:noProof/>
              </w:rPr>
              <w:t>5.8 Grundsätze für die Beschaffung von Ölen und Kraftstoffen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_Toc57041615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7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16" w:history="1">
            <w:r w:rsidR="00D23234" w:rsidRPr="00383D9B">
              <w:rPr>
                <w:rStyle w:val="Hyperlink"/>
                <w:noProof/>
              </w:rPr>
              <w:t>5.9 Grundsätze für die Beschaffung von Bauleistungen: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_Toc57041616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7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D23234" w:rsidRDefault="00B03CEB">
          <w:pPr>
            <w:pStyle w:val="Verzeichnis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7041617" w:history="1">
            <w:r w:rsidR="00D23234" w:rsidRPr="00383D9B">
              <w:rPr>
                <w:rStyle w:val="Hyperlink"/>
                <w:noProof/>
              </w:rPr>
              <w:t>6. Schlussbestimmungen</w:t>
            </w:r>
            <w:r w:rsidR="00D23234">
              <w:rPr>
                <w:noProof/>
                <w:webHidden/>
              </w:rPr>
              <w:tab/>
            </w:r>
            <w:r w:rsidR="00D23234">
              <w:rPr>
                <w:noProof/>
                <w:webHidden/>
              </w:rPr>
              <w:fldChar w:fldCharType="begin"/>
            </w:r>
            <w:r w:rsidR="00D23234">
              <w:rPr>
                <w:noProof/>
                <w:webHidden/>
              </w:rPr>
              <w:instrText xml:space="preserve"> PAGEREF _Toc57041617 \h </w:instrText>
            </w:r>
            <w:r w:rsidR="00D23234">
              <w:rPr>
                <w:noProof/>
                <w:webHidden/>
              </w:rPr>
            </w:r>
            <w:r w:rsidR="00D23234">
              <w:rPr>
                <w:noProof/>
                <w:webHidden/>
              </w:rPr>
              <w:fldChar w:fldCharType="separate"/>
            </w:r>
            <w:r w:rsidR="00D23234">
              <w:rPr>
                <w:noProof/>
                <w:webHidden/>
              </w:rPr>
              <w:t>8</w:t>
            </w:r>
            <w:r w:rsidR="00D23234">
              <w:rPr>
                <w:noProof/>
                <w:webHidden/>
              </w:rPr>
              <w:fldChar w:fldCharType="end"/>
            </w:r>
          </w:hyperlink>
        </w:p>
        <w:p w:rsidR="007061D1" w:rsidRDefault="007061D1">
          <w:r>
            <w:rPr>
              <w:b/>
              <w:bCs/>
            </w:rPr>
            <w:fldChar w:fldCharType="end"/>
          </w:r>
        </w:p>
      </w:sdtContent>
    </w:sdt>
    <w:p w:rsidR="00FA0272" w:rsidRDefault="00FA0272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A0272" w:rsidRDefault="00FA0272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32FB" w:rsidRPr="007061D1" w:rsidRDefault="007A32FB" w:rsidP="007061D1">
      <w:pPr>
        <w:pStyle w:val="berschrift1"/>
      </w:pPr>
      <w:bookmarkStart w:id="0" w:name="_Toc57041603"/>
      <w:r w:rsidRPr="007061D1">
        <w:t>1. Allgemeine Grundsätze</w:t>
      </w:r>
      <w:bookmarkEnd w:id="0"/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nachhaltige Beschaffung ist ein zentrales Thema im 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Rahmen der Klimaschutzstrategie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="00B03CEB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03CEB" w:rsidRPr="00B03CEB">
        <w:rPr>
          <w:rFonts w:ascii="Arial" w:hAnsi="Arial" w:cs="Arial"/>
          <w:color w:val="000000"/>
          <w:sz w:val="24"/>
          <w:szCs w:val="24"/>
          <w:highlight w:val="yellow"/>
        </w:rPr>
        <w:t>Mustergemeinde</w:t>
      </w:r>
      <w:r>
        <w:rPr>
          <w:rFonts w:ascii="Arial" w:hAnsi="Arial" w:cs="Arial"/>
          <w:color w:val="000000"/>
          <w:sz w:val="24"/>
          <w:szCs w:val="24"/>
        </w:rPr>
        <w:t>. Bei allen Beschaffungen sind daher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neben den Grundsätzen der Wirtschaftlichkeit und P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raxistauglichkeit die Ziele des </w:t>
      </w:r>
      <w:r>
        <w:rPr>
          <w:rFonts w:ascii="Arial" w:hAnsi="Arial" w:cs="Arial"/>
          <w:color w:val="000000"/>
          <w:sz w:val="24"/>
          <w:szCs w:val="24"/>
        </w:rPr>
        <w:t>Klimaschutzes zu berücksichtigen. Zum Schutz der natürlichen Lebensgru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ndlagen ist </w:t>
      </w:r>
      <w:r>
        <w:rPr>
          <w:rFonts w:ascii="Arial" w:hAnsi="Arial" w:cs="Arial"/>
          <w:color w:val="000000"/>
          <w:sz w:val="24"/>
          <w:szCs w:val="24"/>
        </w:rPr>
        <w:t xml:space="preserve">energieeffizienten und umweltfreundlichen 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Produkten grundsätzlich Vorrang </w:t>
      </w:r>
      <w:r>
        <w:rPr>
          <w:rFonts w:ascii="Arial" w:hAnsi="Arial" w:cs="Arial"/>
          <w:color w:val="000000"/>
          <w:sz w:val="24"/>
          <w:szCs w:val="24"/>
        </w:rPr>
        <w:t>einzuräumen.</w:t>
      </w:r>
    </w:p>
    <w:p w:rsidR="00FA0272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Leitfaden „Umweltorientierte Beschaffung von Gebrauchs- und Verbrauchsgütern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für den Bürobereich“ des Umweltministerium Baden-Württemberg dient als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Orientierung für alle Vergaben und Beschaffungen.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Siehe: </w:t>
      </w:r>
      <w:r>
        <w:rPr>
          <w:rFonts w:ascii="Arial" w:hAnsi="Arial" w:cs="Arial"/>
          <w:color w:val="0000FF"/>
          <w:sz w:val="24"/>
          <w:szCs w:val="24"/>
        </w:rPr>
        <w:t xml:space="preserve">https://um.baden-wuerttemberg.de/ </w:t>
      </w:r>
      <w:r>
        <w:rPr>
          <w:rFonts w:ascii="Arial" w:hAnsi="Arial" w:cs="Arial"/>
          <w:color w:val="000000"/>
          <w:sz w:val="24"/>
          <w:szCs w:val="24"/>
        </w:rPr>
        <w:t>und Anhang zur Dienstanweisung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</w:p>
    <w:p w:rsidR="007A32FB" w:rsidRPr="007061D1" w:rsidRDefault="007A32FB" w:rsidP="007061D1">
      <w:pPr>
        <w:pStyle w:val="berschrift1"/>
      </w:pPr>
      <w:bookmarkStart w:id="1" w:name="_Toc57041604"/>
      <w:r w:rsidRPr="007061D1">
        <w:t>2. Geltungsbereich</w:t>
      </w:r>
      <w:bookmarkEnd w:id="1"/>
    </w:p>
    <w:p w:rsidR="00FA0272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Diese Dienstanweisung gilt für sämtliche mit Vergaben und Beschaffungen befassten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Fachämter </w:t>
      </w:r>
      <w:r w:rsidR="00B03CEB">
        <w:rPr>
          <w:rFonts w:ascii="Arial" w:hAnsi="Arial" w:cs="Arial"/>
          <w:color w:val="000000"/>
          <w:sz w:val="24"/>
          <w:szCs w:val="24"/>
        </w:rPr>
        <w:t xml:space="preserve">der </w:t>
      </w:r>
      <w:r w:rsidR="00B03CEB" w:rsidRPr="00B03CEB">
        <w:rPr>
          <w:rFonts w:ascii="Arial" w:hAnsi="Arial" w:cs="Arial"/>
          <w:color w:val="000000"/>
          <w:sz w:val="24"/>
          <w:szCs w:val="24"/>
          <w:highlight w:val="yellow"/>
        </w:rPr>
        <w:t>Mustergemeinde</w:t>
      </w:r>
      <w:r w:rsidRPr="00B03CEB">
        <w:rPr>
          <w:rFonts w:ascii="Arial" w:hAnsi="Arial" w:cs="Arial"/>
          <w:color w:val="000000"/>
          <w:sz w:val="24"/>
          <w:szCs w:val="24"/>
          <w:highlight w:val="yellow"/>
        </w:rPr>
        <w:t>.</w:t>
      </w:r>
      <w:bookmarkStart w:id="2" w:name="_GoBack"/>
      <w:bookmarkEnd w:id="2"/>
    </w:p>
    <w:p w:rsidR="00FA0272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Pr="007061D1" w:rsidRDefault="007A32FB" w:rsidP="007061D1">
      <w:pPr>
        <w:pStyle w:val="berschrift1"/>
      </w:pPr>
      <w:bookmarkStart w:id="3" w:name="_Toc57041605"/>
      <w:r w:rsidRPr="007061D1">
        <w:t>3. Anforderung an Produkte</w:t>
      </w:r>
      <w:bookmarkEnd w:id="3"/>
    </w:p>
    <w:p w:rsidR="00FA0272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zu beschaffenden Produkte und Dienstleistungen müssen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 die hohen Mindestanforderungen </w:t>
      </w:r>
      <w:r>
        <w:rPr>
          <w:rFonts w:ascii="Arial" w:hAnsi="Arial" w:cs="Arial"/>
          <w:color w:val="000000"/>
          <w:sz w:val="24"/>
          <w:szCs w:val="24"/>
        </w:rPr>
        <w:t>hinsichtlich Energieeffizienz und Umweltverträglichkeit erfüllen,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welche in den veröffentlichten Vergabeg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rundlagen von Umweltkennzeichen </w:t>
      </w:r>
      <w:r>
        <w:rPr>
          <w:rFonts w:ascii="Arial" w:hAnsi="Arial" w:cs="Arial"/>
          <w:color w:val="000000"/>
          <w:sz w:val="24"/>
          <w:szCs w:val="24"/>
        </w:rPr>
        <w:t>(z.B. www.blauer-engel.de, www.buy-smart-info.de/german etc.) definiert sind, sofern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sie nicht unverhältnismäßig teurer oder in d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er Gebrauchsqualität schlechter sind als </w:t>
      </w:r>
      <w:r>
        <w:rPr>
          <w:rFonts w:ascii="Arial" w:hAnsi="Arial" w:cs="Arial"/>
          <w:color w:val="000000"/>
          <w:sz w:val="24"/>
          <w:szCs w:val="24"/>
        </w:rPr>
        <w:t>weniger umweltfreundliche Produkte.</w:t>
      </w:r>
    </w:p>
    <w:p w:rsidR="00FA0272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Bei Ausschreibungen sind in der Regel alterna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tive Umweltprodukte abzufragen. </w:t>
      </w:r>
      <w:r>
        <w:rPr>
          <w:rFonts w:ascii="Arial" w:hAnsi="Arial" w:cs="Arial"/>
          <w:color w:val="000000"/>
          <w:sz w:val="24"/>
          <w:szCs w:val="24"/>
        </w:rPr>
        <w:t xml:space="preserve">Die Beurteilung der Umweltfreundlichkeit von 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Produkten erfolgt standardgemäß </w:t>
      </w:r>
      <w:r>
        <w:rPr>
          <w:rFonts w:ascii="Arial" w:hAnsi="Arial" w:cs="Arial"/>
          <w:color w:val="000000"/>
          <w:sz w:val="24"/>
          <w:szCs w:val="24"/>
        </w:rPr>
        <w:t xml:space="preserve">über den Leitfaden „Umweltorientierte Beschaffung von 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Gebrauchs- und Verbrauchsgütern </w:t>
      </w:r>
      <w:r>
        <w:rPr>
          <w:rFonts w:ascii="Arial" w:hAnsi="Arial" w:cs="Arial"/>
          <w:color w:val="000000"/>
          <w:sz w:val="24"/>
          <w:szCs w:val="24"/>
        </w:rPr>
        <w:t>für den Bürobereich“ vom Umwel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tministerium Baden-Württemberg, </w:t>
      </w:r>
      <w:r>
        <w:rPr>
          <w:rFonts w:ascii="Arial" w:hAnsi="Arial" w:cs="Arial"/>
          <w:color w:val="000000"/>
          <w:sz w:val="24"/>
          <w:szCs w:val="24"/>
        </w:rPr>
        <w:t>der auch beim Hauptamt einsehbar ist.</w:t>
      </w:r>
    </w:p>
    <w:p w:rsidR="00FA0272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Pr="007061D1" w:rsidRDefault="007A32FB" w:rsidP="007061D1">
      <w:pPr>
        <w:pStyle w:val="berschrift1"/>
      </w:pPr>
      <w:bookmarkStart w:id="4" w:name="_Toc57041606"/>
      <w:r w:rsidRPr="007061D1">
        <w:t>4. Lebenszykluskosten als Zuschlagskriterium</w:t>
      </w:r>
      <w:bookmarkEnd w:id="4"/>
    </w:p>
    <w:p w:rsidR="00FA0272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Für Produkte, bei deren Nutzung Kosten für E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nergie entstehen, sind ab einem </w:t>
      </w:r>
      <w:r>
        <w:rPr>
          <w:rFonts w:ascii="Arial" w:hAnsi="Arial" w:cs="Arial"/>
          <w:color w:val="000000"/>
          <w:sz w:val="24"/>
          <w:szCs w:val="24"/>
        </w:rPr>
        <w:t>Beschaffungsvolumen von 15.000,- EUR netto im Einzelfall neben dem Angebotspreis</w:t>
      </w:r>
    </w:p>
    <w:p w:rsidR="00FA0272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 Energiebedarf auch die Lebenszykl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uskosten als </w:t>
      </w:r>
    </w:p>
    <w:p w:rsidR="00FA0272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Zuschlagskriteriumheranzuziehen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7A32FB">
        <w:rPr>
          <w:rFonts w:ascii="Arial" w:hAnsi="Arial" w:cs="Arial"/>
          <w:color w:val="000000"/>
          <w:sz w:val="24"/>
          <w:szCs w:val="24"/>
        </w:rPr>
        <w:t>Grundlagen für die Berechnung der Lebenszykluskosten sind insbesondere:</w:t>
      </w:r>
    </w:p>
    <w:p w:rsidR="00FA0272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Lebensdauer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Durchschnittliche Nutzungszeit pro Jahr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Strompreis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Strompreissteigerung</w:t>
      </w:r>
    </w:p>
    <w:p w:rsidR="00FA0272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Pr="007061D1" w:rsidRDefault="007A32FB" w:rsidP="007061D1">
      <w:pPr>
        <w:pStyle w:val="berschrift1"/>
      </w:pPr>
      <w:bookmarkStart w:id="5" w:name="_Toc57041607"/>
      <w:r w:rsidRPr="007061D1">
        <w:t>5. Beschaffungskriterien für ausgewählte Produktgruppen:</w:t>
      </w:r>
      <w:bookmarkEnd w:id="5"/>
    </w:p>
    <w:p w:rsidR="007A32FB" w:rsidRPr="007061D1" w:rsidRDefault="007A32FB" w:rsidP="007061D1">
      <w:pPr>
        <w:pStyle w:val="berschrift2"/>
      </w:pPr>
      <w:bookmarkStart w:id="6" w:name="_Toc57041608"/>
      <w:r w:rsidRPr="007061D1">
        <w:t>5.1 Grundsätze für die Beschaffung von Büromaterialien und Papier:</w:t>
      </w:r>
      <w:bookmarkEnd w:id="6"/>
    </w:p>
    <w:p w:rsidR="00FA0272" w:rsidRPr="00FA0272" w:rsidRDefault="00FA0272" w:rsidP="00FA0272"/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Hefter, Mappen, Ordner und Stehsam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mler sollen aus Pappe mit einem </w:t>
      </w:r>
      <w:r>
        <w:rPr>
          <w:rFonts w:ascii="Arial" w:hAnsi="Arial" w:cs="Arial"/>
          <w:color w:val="000000"/>
          <w:sz w:val="24"/>
          <w:szCs w:val="24"/>
        </w:rPr>
        <w:t xml:space="preserve">hohen Anteil an Recyclingmaterial bestehen und das Umweltzeichen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„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blaue Engel“ tragen. Es werden i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n der Regel keine Schnellhefter </w:t>
      </w:r>
      <w:r>
        <w:rPr>
          <w:rFonts w:ascii="Arial" w:hAnsi="Arial" w:cs="Arial"/>
          <w:color w:val="000000"/>
          <w:sz w:val="24"/>
          <w:szCs w:val="24"/>
        </w:rPr>
        <w:t>und Ordner aus Plastik bestellt.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Klebefilme sollen aus Polypropylen (PP) od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er Cellulose-Acetat hergestellt </w:t>
      </w:r>
      <w:r>
        <w:rPr>
          <w:rFonts w:ascii="Arial" w:hAnsi="Arial" w:cs="Arial"/>
          <w:color w:val="000000"/>
          <w:sz w:val="24"/>
          <w:szCs w:val="24"/>
        </w:rPr>
        <w:t>sein.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Es werden nur Klarsichthüllen aus PP (Polyprop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ylen) oder PE (Polyethylen) </w:t>
      </w:r>
      <w:r>
        <w:rPr>
          <w:rFonts w:ascii="Arial" w:hAnsi="Arial" w:cs="Arial"/>
          <w:color w:val="000000"/>
          <w:sz w:val="24"/>
          <w:szCs w:val="24"/>
        </w:rPr>
        <w:t>verwendet (kein PVC).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Büroklammern sind aus Metall und ohne Kunststoffüberzug zu beschaffen.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Es werden keine Einwegkugelschreiber beschafft.</w:t>
      </w:r>
    </w:p>
    <w:p w:rsidR="007A32FB" w:rsidRPr="00FA0272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Filzschreiber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 sollen lösungsmittelfrei sein.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Es sollen Trockentextmarker oder Marker, die na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chfüllbar und lösungsmittelfrei </w:t>
      </w:r>
      <w:r>
        <w:rPr>
          <w:rFonts w:ascii="Arial" w:hAnsi="Arial" w:cs="Arial"/>
          <w:color w:val="000000"/>
          <w:sz w:val="24"/>
          <w:szCs w:val="24"/>
        </w:rPr>
        <w:t>sind, verwendet werden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Korrekturlacke sollen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keine Chlorko</w:t>
      </w:r>
      <w:r w:rsidR="00FA0272">
        <w:rPr>
          <w:rFonts w:ascii="Arial" w:hAnsi="Arial" w:cs="Arial"/>
          <w:color w:val="000000"/>
          <w:sz w:val="24"/>
          <w:szCs w:val="24"/>
        </w:rPr>
        <w:t>hlenwasserstoffen</w:t>
      </w:r>
      <w:proofErr w:type="gramEnd"/>
      <w:r w:rsidR="00FA0272">
        <w:rPr>
          <w:rFonts w:ascii="Arial" w:hAnsi="Arial" w:cs="Arial"/>
          <w:color w:val="000000"/>
          <w:sz w:val="24"/>
          <w:szCs w:val="24"/>
        </w:rPr>
        <w:t xml:space="preserve"> enthalten und </w:t>
      </w:r>
      <w:r>
        <w:rPr>
          <w:rFonts w:ascii="Arial" w:hAnsi="Arial" w:cs="Arial"/>
          <w:color w:val="000000"/>
          <w:sz w:val="24"/>
          <w:szCs w:val="24"/>
        </w:rPr>
        <w:t>auf Wasserbasis hergestellt sein; Korrekturstreifen sind zu bevorzugen.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Klebstoffen sollen lösungsmittelfrei sein. 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Statt Flüssigklebestoffe werden </w:t>
      </w:r>
      <w:r>
        <w:rPr>
          <w:rFonts w:ascii="Arial" w:hAnsi="Arial" w:cs="Arial"/>
          <w:color w:val="000000"/>
          <w:sz w:val="24"/>
          <w:szCs w:val="24"/>
        </w:rPr>
        <w:t>vorrangig Klebestifte eingekauft.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Mindestens 90% der eingekauften Briefumsch</w:t>
      </w:r>
      <w:r w:rsidR="007061D1">
        <w:rPr>
          <w:rFonts w:ascii="Arial" w:hAnsi="Arial" w:cs="Arial"/>
          <w:color w:val="000000"/>
          <w:sz w:val="24"/>
          <w:szCs w:val="24"/>
        </w:rPr>
        <w:t>läge sollen aus Recyclingpapier</w:t>
      </w:r>
      <w:r>
        <w:rPr>
          <w:rFonts w:ascii="Arial" w:hAnsi="Arial" w:cs="Arial"/>
          <w:color w:val="000000"/>
          <w:sz w:val="24"/>
          <w:szCs w:val="24"/>
        </w:rPr>
        <w:t>hergestellt sein. Bei Briefums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chlägen mit Fenster soll dieses </w:t>
      </w:r>
      <w:r>
        <w:rPr>
          <w:rFonts w:ascii="Arial" w:hAnsi="Arial" w:cs="Arial"/>
          <w:color w:val="000000"/>
          <w:sz w:val="24"/>
          <w:szCs w:val="24"/>
        </w:rPr>
        <w:t>aus Pergamin bestehen.</w:t>
      </w:r>
    </w:p>
    <w:p w:rsidR="00510692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Unter Berücksichtigung der Belange des Arc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hivwesens und des störungsarmen </w:t>
      </w:r>
      <w:r>
        <w:rPr>
          <w:rFonts w:ascii="Arial" w:hAnsi="Arial" w:cs="Arial"/>
          <w:color w:val="000000"/>
          <w:sz w:val="24"/>
          <w:szCs w:val="24"/>
        </w:rPr>
        <w:t>Betriebs von Bürogeräten ist d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er Anteil von Recyclingpapieren </w:t>
      </w:r>
      <w:r>
        <w:rPr>
          <w:rFonts w:ascii="Arial" w:hAnsi="Arial" w:cs="Arial"/>
          <w:color w:val="000000"/>
          <w:sz w:val="24"/>
          <w:szCs w:val="24"/>
        </w:rPr>
        <w:t xml:space="preserve">zu steigern. Dies gilt für den </w:t>
      </w:r>
      <w:r w:rsidR="00FA0272">
        <w:rPr>
          <w:rFonts w:ascii="Arial" w:hAnsi="Arial" w:cs="Arial"/>
          <w:color w:val="000000"/>
          <w:sz w:val="24"/>
          <w:szCs w:val="24"/>
        </w:rPr>
        <w:t xml:space="preserve">internen Verbrauch wie auch für </w:t>
      </w:r>
      <w:r>
        <w:rPr>
          <w:rFonts w:ascii="Arial" w:hAnsi="Arial" w:cs="Arial"/>
          <w:color w:val="000000"/>
          <w:sz w:val="24"/>
          <w:szCs w:val="24"/>
        </w:rPr>
        <w:t>nach außen vergebene Druck- und Kopieraufträge.</w:t>
      </w:r>
    </w:p>
    <w:p w:rsidR="00FA0272" w:rsidRDefault="00FA0272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Pr="007061D1" w:rsidRDefault="007A32FB" w:rsidP="007061D1">
      <w:pPr>
        <w:pStyle w:val="berschrift2"/>
      </w:pPr>
      <w:bookmarkStart w:id="7" w:name="_Toc57041609"/>
      <w:r w:rsidRPr="007061D1">
        <w:t>5.2 Grundsätze für die Beschaffung von Büromöbeln</w:t>
      </w:r>
      <w:bookmarkEnd w:id="7"/>
    </w:p>
    <w:p w:rsidR="007061D1" w:rsidRDefault="007061D1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061D1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Möbelstücke aus Tropenholz werden nicht eing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ekauft, Möbel aus einheimischen </w:t>
      </w:r>
      <w:r>
        <w:rPr>
          <w:rFonts w:ascii="Arial" w:hAnsi="Arial" w:cs="Arial"/>
          <w:color w:val="000000"/>
          <w:sz w:val="24"/>
          <w:szCs w:val="24"/>
        </w:rPr>
        <w:t>Hölzern sind zu bevorzugen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. Holzmöbel müssen nachweislich </w:t>
      </w:r>
      <w:r>
        <w:rPr>
          <w:rFonts w:ascii="Arial" w:hAnsi="Arial" w:cs="Arial"/>
          <w:color w:val="000000"/>
          <w:sz w:val="24"/>
          <w:szCs w:val="24"/>
        </w:rPr>
        <w:t>aus legaler und nachhaltig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er Waldbewirtschaftung stammen. </w:t>
      </w:r>
      <w:r>
        <w:rPr>
          <w:rFonts w:ascii="Arial" w:hAnsi="Arial" w:cs="Arial"/>
          <w:color w:val="000000"/>
          <w:sz w:val="24"/>
          <w:szCs w:val="24"/>
        </w:rPr>
        <w:t>Grundlage hierfür bilden die Kriterien de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r Zertifizierungssysteme FSC </w:t>
      </w:r>
      <w:r>
        <w:rPr>
          <w:rFonts w:ascii="Arial" w:hAnsi="Arial" w:cs="Arial"/>
          <w:color w:val="000000"/>
          <w:sz w:val="24"/>
          <w:szCs w:val="24"/>
        </w:rPr>
        <w:t>und PEFC.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Auf Modul- oder Systembauweise der Möbelstücke ist zu achten,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Steck- und Schraubverbindungen sind zu bevorzugen.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Bei Möbeln soll die Formaldehydkonzentration unter 0,05 ppm liegen.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Höhenverstellbare Schreibtische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 werden nach Abstimmung mit dem </w:t>
      </w:r>
      <w:r>
        <w:rPr>
          <w:rFonts w:ascii="Arial" w:hAnsi="Arial" w:cs="Arial"/>
          <w:color w:val="000000"/>
          <w:sz w:val="24"/>
          <w:szCs w:val="24"/>
        </w:rPr>
        <w:t>Betriebsarzt oder auf Grund eines vor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gelegten fachärztlichen Attests </w:t>
      </w:r>
      <w:r>
        <w:rPr>
          <w:rFonts w:ascii="Arial" w:hAnsi="Arial" w:cs="Arial"/>
          <w:color w:val="000000"/>
          <w:sz w:val="24"/>
          <w:szCs w:val="24"/>
        </w:rPr>
        <w:t>des Mitarbeiters beschafft. Dabei sind E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rstattungsmöglichkeiten anderer </w:t>
      </w:r>
      <w:r>
        <w:rPr>
          <w:rFonts w:ascii="Arial" w:hAnsi="Arial" w:cs="Arial"/>
          <w:color w:val="000000"/>
          <w:sz w:val="24"/>
          <w:szCs w:val="24"/>
        </w:rPr>
        <w:t>Kostenträger zu berücksichtigen.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Auf höhenverstellbare Rückenlehnen, anatomisch 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geformte Sitzflächen </w:t>
      </w:r>
      <w:r>
        <w:rPr>
          <w:rFonts w:ascii="Arial" w:hAnsi="Arial" w:cs="Arial"/>
          <w:color w:val="000000"/>
          <w:sz w:val="24"/>
          <w:szCs w:val="24"/>
        </w:rPr>
        <w:t>und Lendenwirbelabstützung ist beim Einkauf von Bürostühlen zu achten.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Polsterbezüge sollen abnehmbar sein.</w:t>
      </w:r>
    </w:p>
    <w:p w:rsidR="007A32FB" w:rsidRDefault="007A32FB" w:rsidP="007061D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Aluminium soll möglichst nicht in den Möbelstücken verarbeitet sein.</w:t>
      </w:r>
    </w:p>
    <w:p w:rsidR="007A32FB" w:rsidRDefault="007A32FB" w:rsidP="007061D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Es ist darauf zu achten, dass die verwendeten Kunststoffe und Metalle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gekennzeichnet sind.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Die Lieferung von Ersatzteilen soll gewährleistet sein.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Umfangreiche Verpackungsmaterialien sol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len vom Händler oder Hersteller </w:t>
      </w:r>
      <w:r>
        <w:rPr>
          <w:rFonts w:ascii="Arial" w:hAnsi="Arial" w:cs="Arial"/>
          <w:color w:val="000000"/>
          <w:sz w:val="24"/>
          <w:szCs w:val="24"/>
        </w:rPr>
        <w:t>zurückgenommen werden.</w:t>
      </w:r>
    </w:p>
    <w:p w:rsidR="007061D1" w:rsidRDefault="007061D1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Pr="007061D1" w:rsidRDefault="007A32FB" w:rsidP="007061D1">
      <w:pPr>
        <w:pStyle w:val="berschrift2"/>
      </w:pPr>
      <w:bookmarkStart w:id="8" w:name="_Toc57041610"/>
      <w:r w:rsidRPr="007061D1">
        <w:t>5.3 Grundsätze für die Beschaffung von Bürogeräten</w:t>
      </w:r>
      <w:bookmarkEnd w:id="8"/>
    </w:p>
    <w:p w:rsidR="007061D1" w:rsidRPr="007061D1" w:rsidRDefault="007061D1" w:rsidP="007061D1"/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IT-Endgeräte (Kommunikations- und Info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rmationstechnik, z.B. Computer, </w:t>
      </w:r>
      <w:r>
        <w:rPr>
          <w:rFonts w:ascii="Arial" w:hAnsi="Arial" w:cs="Arial"/>
          <w:color w:val="000000"/>
          <w:sz w:val="24"/>
          <w:szCs w:val="24"/>
        </w:rPr>
        <w:t>Monitore, Notebooks, Drucker, K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opier- und Faxgeräte, Telefone, </w:t>
      </w:r>
      <w:r>
        <w:rPr>
          <w:rFonts w:ascii="Arial" w:hAnsi="Arial" w:cs="Arial"/>
          <w:color w:val="000000"/>
          <w:sz w:val="24"/>
          <w:szCs w:val="24"/>
        </w:rPr>
        <w:t>Handys, Digitalkameras) müssen den Kriterien des „</w:t>
      </w:r>
      <w:proofErr w:type="spellStart"/>
      <w:r w:rsidR="007061D1">
        <w:rPr>
          <w:rFonts w:ascii="Arial" w:hAnsi="Arial" w:cs="Arial"/>
          <w:color w:val="000000"/>
          <w:sz w:val="24"/>
          <w:szCs w:val="24"/>
        </w:rPr>
        <w:t>Energy</w:t>
      </w:r>
      <w:proofErr w:type="spellEnd"/>
      <w:r w:rsidR="007061D1">
        <w:rPr>
          <w:rFonts w:ascii="Arial" w:hAnsi="Arial" w:cs="Arial"/>
          <w:color w:val="000000"/>
          <w:sz w:val="24"/>
          <w:szCs w:val="24"/>
        </w:rPr>
        <w:t>-Star-</w:t>
      </w:r>
      <w:r>
        <w:rPr>
          <w:rFonts w:ascii="Arial" w:hAnsi="Arial" w:cs="Arial"/>
          <w:color w:val="000000"/>
          <w:sz w:val="24"/>
          <w:szCs w:val="24"/>
        </w:rPr>
        <w:t>Labels“ oder des “Blauen Engels“ ent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sprechen (Green IT). Praktische </w:t>
      </w:r>
      <w:r>
        <w:rPr>
          <w:rFonts w:ascii="Arial" w:hAnsi="Arial" w:cs="Arial"/>
          <w:color w:val="000000"/>
          <w:sz w:val="24"/>
          <w:szCs w:val="24"/>
        </w:rPr>
        <w:t>Hinweise sind dem Beschaffungsleitfaden zu entnehmen.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Eine bedarfsgerechte Versorgung mit s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o vielen Geräten wie nötig wird angestrebt. </w:t>
      </w:r>
      <w:r>
        <w:rPr>
          <w:rFonts w:ascii="Arial" w:hAnsi="Arial" w:cs="Arial"/>
          <w:color w:val="000000"/>
          <w:sz w:val="24"/>
          <w:szCs w:val="24"/>
        </w:rPr>
        <w:t>Die beschafften Geräte sol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len für die jeweilige Anwendung </w:t>
      </w:r>
      <w:r>
        <w:rPr>
          <w:rFonts w:ascii="Arial" w:hAnsi="Arial" w:cs="Arial"/>
          <w:color w:val="000000"/>
          <w:sz w:val="24"/>
          <w:szCs w:val="24"/>
        </w:rPr>
        <w:t xml:space="preserve">geeignet und ausreichend sein; es ist 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darauf zu achten, dass sie nach </w:t>
      </w:r>
      <w:r>
        <w:rPr>
          <w:rFonts w:ascii="Arial" w:hAnsi="Arial" w:cs="Arial"/>
          <w:color w:val="000000"/>
          <w:sz w:val="24"/>
          <w:szCs w:val="24"/>
        </w:rPr>
        <w:t>Möglichkeit nachgerüstet werden können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 (Schnittstellen, austauschbare </w:t>
      </w:r>
      <w:r>
        <w:rPr>
          <w:rFonts w:ascii="Arial" w:hAnsi="Arial" w:cs="Arial"/>
          <w:color w:val="000000"/>
          <w:sz w:val="24"/>
          <w:szCs w:val="24"/>
        </w:rPr>
        <w:t>Komponenten).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Multifunktionelle netzwerkfähige Geräte werden bevorzugt eingesetzt.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Bei einer Beschaffung sollen grundsätzli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ch auch die Rückgabemodalitäten nach der </w:t>
      </w:r>
      <w:r>
        <w:rPr>
          <w:rFonts w:ascii="Arial" w:hAnsi="Arial" w:cs="Arial"/>
          <w:color w:val="000000"/>
          <w:sz w:val="24"/>
          <w:szCs w:val="24"/>
        </w:rPr>
        <w:t>Nutzungsphase inklusive de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r Verbrauchsmaterialien geklärt </w:t>
      </w:r>
      <w:r>
        <w:rPr>
          <w:rFonts w:ascii="Arial" w:hAnsi="Arial" w:cs="Arial"/>
          <w:color w:val="000000"/>
          <w:sz w:val="24"/>
          <w:szCs w:val="24"/>
        </w:rPr>
        <w:t>und ggf. eine Rücknahme vereinba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rt werden, um eine fachgerechte </w:t>
      </w:r>
      <w:r>
        <w:rPr>
          <w:rFonts w:ascii="Arial" w:hAnsi="Arial" w:cs="Arial"/>
          <w:color w:val="000000"/>
          <w:sz w:val="24"/>
          <w:szCs w:val="24"/>
        </w:rPr>
        <w:t>Verwertung bzw. Entsorgung oder eine Alternativverwendung sicherzustellen.</w:t>
      </w:r>
    </w:p>
    <w:p w:rsidR="007061D1" w:rsidRDefault="007061D1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061D1">
      <w:pPr>
        <w:pStyle w:val="berschrift2"/>
      </w:pPr>
      <w:bookmarkStart w:id="9" w:name="_Toc57041611"/>
      <w:r>
        <w:t>5.4 Grundsätze für die Beschaffung von Haushaltsgroßgeräten:</w:t>
      </w:r>
      <w:bookmarkEnd w:id="9"/>
    </w:p>
    <w:p w:rsidR="007061D1" w:rsidRDefault="007061D1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Haushaltsgroßgeräte müssen mindestens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 das EU-Label der zweithöchsten </w:t>
      </w:r>
      <w:r>
        <w:rPr>
          <w:rFonts w:ascii="Arial" w:hAnsi="Arial" w:cs="Arial"/>
          <w:color w:val="000000"/>
          <w:sz w:val="24"/>
          <w:szCs w:val="24"/>
        </w:rPr>
        <w:t>Klasse haben, das für diese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 Geräteklasse verfügbar ist. Im </w:t>
      </w:r>
      <w:r>
        <w:rPr>
          <w:rFonts w:ascii="Arial" w:hAnsi="Arial" w:cs="Arial"/>
          <w:color w:val="000000"/>
          <w:sz w:val="24"/>
          <w:szCs w:val="24"/>
        </w:rPr>
        <w:t>Rahmen der Angebotswertung wird jedoc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h das höchste für die jeweilige </w:t>
      </w:r>
      <w:r>
        <w:rPr>
          <w:rFonts w:ascii="Arial" w:hAnsi="Arial" w:cs="Arial"/>
          <w:color w:val="000000"/>
          <w:sz w:val="24"/>
          <w:szCs w:val="24"/>
        </w:rPr>
        <w:t>Geräteklasse verfügbare EU-Label als Zuschlagskriterium berücksichtigt.</w:t>
      </w:r>
    </w:p>
    <w:p w:rsidR="00D23234" w:rsidRDefault="00D23234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061D1" w:rsidRDefault="007061D1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061D1">
      <w:pPr>
        <w:pStyle w:val="berschrift2"/>
      </w:pPr>
      <w:bookmarkStart w:id="10" w:name="_Toc57041612"/>
      <w:r>
        <w:lastRenderedPageBreak/>
        <w:t>5.5 Grundsätze für die Beschaffung von Reinigungsleistungen und –mitteln:</w:t>
      </w:r>
      <w:bookmarkEnd w:id="10"/>
    </w:p>
    <w:p w:rsidR="007061D1" w:rsidRPr="007061D1" w:rsidRDefault="007061D1" w:rsidP="007061D1"/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Es werden nur umweltfreundliche, nicht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 ätzende Reinigungs-, </w:t>
      </w:r>
      <w:proofErr w:type="spellStart"/>
      <w:r w:rsidR="007061D1">
        <w:rPr>
          <w:rFonts w:ascii="Arial" w:hAnsi="Arial" w:cs="Arial"/>
          <w:color w:val="000000"/>
          <w:sz w:val="24"/>
          <w:szCs w:val="24"/>
        </w:rPr>
        <w:t>Pflegeund</w:t>
      </w:r>
      <w:proofErr w:type="spellEnd"/>
      <w:r w:rsidR="00706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Desinfektionsmittel eingesetzt, die frei von 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organischen Halogenverbindungen </w:t>
      </w:r>
      <w:r>
        <w:rPr>
          <w:rFonts w:ascii="Arial" w:hAnsi="Arial" w:cs="Arial"/>
          <w:color w:val="000000"/>
          <w:sz w:val="24"/>
          <w:szCs w:val="24"/>
        </w:rPr>
        <w:t>und von schädlichen und geru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chsbelästigenden Nebenwirkungen </w:t>
      </w:r>
      <w:r>
        <w:rPr>
          <w:rFonts w:ascii="Arial" w:hAnsi="Arial" w:cs="Arial"/>
          <w:color w:val="000000"/>
          <w:sz w:val="24"/>
          <w:szCs w:val="24"/>
        </w:rPr>
        <w:t>sind. Der Mitteleinsatz darf zu keiner ver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meidbaren Gesundheitsschädigung </w:t>
      </w:r>
      <w:r>
        <w:rPr>
          <w:rFonts w:ascii="Arial" w:hAnsi="Arial" w:cs="Arial"/>
          <w:color w:val="000000"/>
          <w:sz w:val="24"/>
          <w:szCs w:val="24"/>
        </w:rPr>
        <w:t>führen.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Spezialreiniger dürfen nur im unbedingt 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erforderlichen Umfang beschafft </w:t>
      </w:r>
      <w:r>
        <w:rPr>
          <w:rFonts w:ascii="Arial" w:hAnsi="Arial" w:cs="Arial"/>
          <w:color w:val="000000"/>
          <w:sz w:val="24"/>
          <w:szCs w:val="24"/>
        </w:rPr>
        <w:t>und verwendet werden.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Die Reinigungsmittel sind nach Herstelle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rangaben zu dosieren; geeignete </w:t>
      </w:r>
      <w:r>
        <w:rPr>
          <w:rFonts w:ascii="Arial" w:hAnsi="Arial" w:cs="Arial"/>
          <w:color w:val="000000"/>
          <w:sz w:val="24"/>
          <w:szCs w:val="24"/>
        </w:rPr>
        <w:t>Reinigungstücher sind zu beschaffen und zu verwenden.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Reinigungsmittel in Hochkonzentraten m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it integriertem Dosiersystem in </w:t>
      </w:r>
      <w:r>
        <w:rPr>
          <w:rFonts w:ascii="Arial" w:hAnsi="Arial" w:cs="Arial"/>
          <w:color w:val="000000"/>
          <w:sz w:val="24"/>
          <w:szCs w:val="24"/>
        </w:rPr>
        <w:t>der Flasche sind vorrangig einzusetzen.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Der Lieferant bzw. Hersteller muss einen Nac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hweis eines Lieferkettensystems </w:t>
      </w:r>
      <w:r>
        <w:rPr>
          <w:rFonts w:ascii="Arial" w:hAnsi="Arial" w:cs="Arial"/>
          <w:color w:val="000000"/>
          <w:sz w:val="24"/>
          <w:szCs w:val="24"/>
        </w:rPr>
        <w:t>(Recycling) erbringen.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Abfall durch Reinigungsmittelflaschen und –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 Kanister soll vermieden </w:t>
      </w:r>
      <w:r>
        <w:rPr>
          <w:rFonts w:ascii="Arial" w:hAnsi="Arial" w:cs="Arial"/>
          <w:color w:val="000000"/>
          <w:sz w:val="24"/>
          <w:szCs w:val="24"/>
        </w:rPr>
        <w:t>werden.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Eine Dokumentation gemäß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</w:t>
      </w:r>
      <w:r w:rsidR="007061D1">
        <w:rPr>
          <w:rFonts w:ascii="Arial" w:hAnsi="Arial" w:cs="Arial"/>
          <w:color w:val="000000"/>
          <w:sz w:val="24"/>
          <w:szCs w:val="24"/>
        </w:rPr>
        <w:t>wAbfV</w:t>
      </w:r>
      <w:proofErr w:type="spellEnd"/>
      <w:r w:rsidR="007061D1">
        <w:rPr>
          <w:rFonts w:ascii="Arial" w:hAnsi="Arial" w:cs="Arial"/>
          <w:color w:val="000000"/>
          <w:sz w:val="24"/>
          <w:szCs w:val="24"/>
        </w:rPr>
        <w:t xml:space="preserve"> Abschnitt 2 § 3 Getrennte </w:t>
      </w:r>
      <w:r>
        <w:rPr>
          <w:rFonts w:ascii="Arial" w:hAnsi="Arial" w:cs="Arial"/>
          <w:color w:val="000000"/>
          <w:sz w:val="24"/>
          <w:szCs w:val="24"/>
        </w:rPr>
        <w:t>Sammlung, Vorbereitung zur Wie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derverwendung und Recycling von </w:t>
      </w:r>
      <w:r>
        <w:rPr>
          <w:rFonts w:ascii="Arial" w:hAnsi="Arial" w:cs="Arial"/>
          <w:color w:val="000000"/>
          <w:sz w:val="24"/>
          <w:szCs w:val="24"/>
        </w:rPr>
        <w:t>gewerblichen Siedlungsabfällen soll erfolgen.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Reinigungsdienstleister werden zur Einhaltun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g dieser Standard verpflichtet. </w:t>
      </w:r>
      <w:r>
        <w:rPr>
          <w:rFonts w:ascii="Arial" w:hAnsi="Arial" w:cs="Arial"/>
          <w:color w:val="000000"/>
          <w:sz w:val="24"/>
          <w:szCs w:val="24"/>
        </w:rPr>
        <w:t>Ein Verzeichnis der eingesetzten Reinigungsmi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ttel mit Produktbeschreibungen, </w:t>
      </w:r>
      <w:r>
        <w:rPr>
          <w:rFonts w:ascii="Arial" w:hAnsi="Arial" w:cs="Arial"/>
          <w:color w:val="000000"/>
          <w:sz w:val="24"/>
          <w:szCs w:val="24"/>
        </w:rPr>
        <w:t>Sicherheitsdatenblätte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rn und Angabe der Inhaltsstoffe </w:t>
      </w:r>
      <w:r>
        <w:rPr>
          <w:rFonts w:ascii="Arial" w:hAnsi="Arial" w:cs="Arial"/>
          <w:color w:val="000000"/>
          <w:sz w:val="24"/>
          <w:szCs w:val="24"/>
        </w:rPr>
        <w:t>ist vorzulegen. Auf Verlagen sind Prob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en der eingesetzten Reinigungs- </w:t>
      </w:r>
      <w:r>
        <w:rPr>
          <w:rFonts w:ascii="Arial" w:hAnsi="Arial" w:cs="Arial"/>
          <w:color w:val="000000"/>
          <w:sz w:val="24"/>
          <w:szCs w:val="24"/>
        </w:rPr>
        <w:t>und Pflegemittel abzugeben.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Eigene Reinigungskräfte sind in erford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erlichem Maße regelmäßig in der </w:t>
      </w:r>
      <w:r>
        <w:rPr>
          <w:rFonts w:ascii="Arial" w:hAnsi="Arial" w:cs="Arial"/>
          <w:color w:val="000000"/>
          <w:sz w:val="24"/>
          <w:szCs w:val="24"/>
        </w:rPr>
        <w:t>Auswahl und Anwendung der Reinigungsmittel zu unterrichten.</w:t>
      </w:r>
    </w:p>
    <w:p w:rsidR="007061D1" w:rsidRDefault="007061D1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061D1">
      <w:pPr>
        <w:pStyle w:val="berschrift2"/>
      </w:pPr>
      <w:bookmarkStart w:id="11" w:name="_Toc57041613"/>
      <w:r>
        <w:t>5.6 Grundsätze für die Beschaffung von Strom</w:t>
      </w:r>
      <w:bookmarkEnd w:id="11"/>
    </w:p>
    <w:p w:rsidR="007061D1" w:rsidRPr="007061D1" w:rsidRDefault="007061D1" w:rsidP="007061D1"/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Ein angemessener Anteil des bezogene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n Stroms soll aus regenerativen </w:t>
      </w:r>
      <w:r>
        <w:rPr>
          <w:rFonts w:ascii="Arial" w:hAnsi="Arial" w:cs="Arial"/>
          <w:color w:val="000000"/>
          <w:sz w:val="24"/>
          <w:szCs w:val="24"/>
        </w:rPr>
        <w:t>Quellen stammen (Ökostrom). Der Str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omanbieter muss gleichzeitig in </w:t>
      </w:r>
      <w:r>
        <w:rPr>
          <w:rFonts w:ascii="Arial" w:hAnsi="Arial" w:cs="Arial"/>
          <w:color w:val="000000"/>
          <w:sz w:val="24"/>
          <w:szCs w:val="24"/>
        </w:rPr>
        <w:t>den Erhalt und weiteren Ausbau von regenerativen Anlagen reinvestieren.</w:t>
      </w:r>
    </w:p>
    <w:p w:rsidR="007061D1" w:rsidRDefault="007061D1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061D1">
      <w:pPr>
        <w:pStyle w:val="berschrift2"/>
      </w:pPr>
      <w:bookmarkStart w:id="12" w:name="_Toc57041614"/>
      <w:r>
        <w:t>5.7 Grundsätze für die Beschaffung von Fahrzeugen</w:t>
      </w:r>
      <w:bookmarkEnd w:id="12"/>
    </w:p>
    <w:p w:rsidR="007061D1" w:rsidRDefault="007061D1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Auf die Richtlinien zur Beschaffung von Dienstfahrzeugen wird verwiesen.</w:t>
      </w:r>
    </w:p>
    <w:p w:rsidR="007061D1" w:rsidRDefault="007061D1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7061D1">
      <w:pPr>
        <w:pStyle w:val="berschrift2"/>
      </w:pPr>
      <w:bookmarkStart w:id="13" w:name="_Toc57041615"/>
      <w:r>
        <w:t>5.8 Grundsätze für die Beschaffung von Ölen und Kraftstoffen</w:t>
      </w:r>
      <w:bookmarkEnd w:id="13"/>
    </w:p>
    <w:p w:rsidR="007061D1" w:rsidRDefault="007061D1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Bei Kraftfahrzeugen sollen die eingesetzten Mot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orenöle Leichtlaufeigenschaften </w:t>
      </w:r>
      <w:r>
        <w:rPr>
          <w:rFonts w:ascii="Arial" w:hAnsi="Arial" w:cs="Arial"/>
          <w:color w:val="000000"/>
          <w:sz w:val="24"/>
          <w:szCs w:val="24"/>
        </w:rPr>
        <w:t xml:space="preserve">aufweisen (entspricht 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SAE-Viskositätsklasse 0W30 oder </w:t>
      </w:r>
      <w:r>
        <w:rPr>
          <w:rFonts w:ascii="Arial" w:hAnsi="Arial" w:cs="Arial"/>
          <w:color w:val="000000"/>
          <w:sz w:val="24"/>
          <w:szCs w:val="24"/>
        </w:rPr>
        <w:t>5W30).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Bei handgeführten Maschinen mit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 Verbrennungsmotoren müssen die </w:t>
      </w:r>
      <w:r>
        <w:rPr>
          <w:rFonts w:ascii="Arial" w:hAnsi="Arial" w:cs="Arial"/>
          <w:color w:val="000000"/>
          <w:sz w:val="24"/>
          <w:szCs w:val="24"/>
        </w:rPr>
        <w:t>eingesetzten Kraftstoffe benzolfrei sein.</w:t>
      </w:r>
    </w:p>
    <w:p w:rsidR="007A32FB" w:rsidRDefault="007A32FB" w:rsidP="007061D1">
      <w:pPr>
        <w:pStyle w:val="berschrift2"/>
      </w:pPr>
      <w:bookmarkStart w:id="14" w:name="_Toc57041616"/>
      <w:r>
        <w:lastRenderedPageBreak/>
        <w:t>5.9 Grundsätze für die Beschaffung von Bauleistungen:</w:t>
      </w:r>
      <w:bookmarkEnd w:id="14"/>
    </w:p>
    <w:p w:rsidR="007061D1" w:rsidRPr="007061D1" w:rsidRDefault="007061D1" w:rsidP="007061D1"/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Verwaltung sowie die beauftragten Architektu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r- und Ingenieurbüros haben die </w:t>
      </w:r>
      <w:r>
        <w:rPr>
          <w:rFonts w:ascii="Arial" w:hAnsi="Arial" w:cs="Arial"/>
          <w:color w:val="000000"/>
          <w:sz w:val="24"/>
          <w:szCs w:val="24"/>
        </w:rPr>
        <w:t xml:space="preserve">nachfolgenden Grundsätze bei der Planung und 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Ausschreibung der Bauleistungen </w:t>
      </w:r>
      <w:r>
        <w:rPr>
          <w:rFonts w:ascii="Arial" w:hAnsi="Arial" w:cs="Arial"/>
          <w:color w:val="000000"/>
          <w:sz w:val="24"/>
          <w:szCs w:val="24"/>
        </w:rPr>
        <w:t>(Hoch-, Tief-, Anlagenbau) zu beachten. Die bauausführenden Unternehmen sind auf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die Einhaltung dieser Grundsätze zu verpflichten.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Bei allen Neubauten, Umbauten, Instan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dsetzungen und Instandhaltungen </w:t>
      </w:r>
      <w:r>
        <w:rPr>
          <w:rFonts w:ascii="Arial" w:hAnsi="Arial" w:cs="Arial"/>
          <w:color w:val="000000"/>
          <w:sz w:val="24"/>
          <w:szCs w:val="24"/>
        </w:rPr>
        <w:t>von Gebäuden und Anlagen wird auf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 besonders ressourcenschonendes </w:t>
      </w:r>
      <w:r>
        <w:rPr>
          <w:rFonts w:ascii="Arial" w:hAnsi="Arial" w:cs="Arial"/>
          <w:color w:val="000000"/>
          <w:sz w:val="24"/>
          <w:szCs w:val="24"/>
        </w:rPr>
        <w:t xml:space="preserve">Bauen Wert gelegt; auf einen möglichst 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niedrigen Energieverbrauch </w:t>
      </w:r>
      <w:r>
        <w:rPr>
          <w:rFonts w:ascii="Arial" w:hAnsi="Arial" w:cs="Arial"/>
          <w:color w:val="000000"/>
          <w:sz w:val="24"/>
          <w:szCs w:val="24"/>
        </w:rPr>
        <w:t>und eine möglichst geringe U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mweltbelastung ist hinzuwirken. </w:t>
      </w:r>
      <w:r>
        <w:rPr>
          <w:rFonts w:ascii="Arial" w:hAnsi="Arial" w:cs="Arial"/>
          <w:color w:val="000000"/>
          <w:sz w:val="24"/>
          <w:szCs w:val="24"/>
        </w:rPr>
        <w:t>Dies betrifft Planung, Ausschreibung,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 Konstruktion und Betrieb sowie </w:t>
      </w:r>
      <w:r>
        <w:rPr>
          <w:rFonts w:ascii="Arial" w:hAnsi="Arial" w:cs="Arial"/>
          <w:color w:val="000000"/>
          <w:sz w:val="24"/>
          <w:szCs w:val="24"/>
        </w:rPr>
        <w:t>Wartung und Demontage. Der gesa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mte Lebenszyklus eines Bauwerks </w:t>
      </w:r>
      <w:r>
        <w:rPr>
          <w:rFonts w:ascii="Arial" w:hAnsi="Arial" w:cs="Arial"/>
          <w:color w:val="000000"/>
          <w:sz w:val="24"/>
          <w:szCs w:val="24"/>
        </w:rPr>
        <w:t>ist einzubeziehen.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Die sparsame Verwendung von Energie, Wasser und Baustoffen ist anzustreben.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Soweit möglich, sollen umweltsch</w:t>
      </w:r>
      <w:r w:rsidR="007061D1">
        <w:rPr>
          <w:rFonts w:ascii="Arial" w:hAnsi="Arial" w:cs="Arial"/>
          <w:color w:val="000000"/>
          <w:sz w:val="24"/>
          <w:szCs w:val="24"/>
        </w:rPr>
        <w:t xml:space="preserve">onende Baumaterialien verwendet </w:t>
      </w:r>
      <w:r>
        <w:rPr>
          <w:rFonts w:ascii="Arial" w:hAnsi="Arial" w:cs="Arial"/>
          <w:color w:val="000000"/>
          <w:sz w:val="24"/>
          <w:szCs w:val="24"/>
        </w:rPr>
        <w:t>werden, die ungiftig, wiederverwertbar,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 erneuerbar und/oder recycelbar </w:t>
      </w:r>
      <w:r>
        <w:rPr>
          <w:rFonts w:ascii="Arial" w:hAnsi="Arial" w:cs="Arial"/>
          <w:color w:val="000000"/>
          <w:sz w:val="24"/>
          <w:szCs w:val="24"/>
        </w:rPr>
        <w:t>sind.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Für den Einsatz von Baustoffrecyclingma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terial im Straßenbau gelten die </w:t>
      </w:r>
      <w:r>
        <w:rPr>
          <w:rFonts w:ascii="Arial" w:hAnsi="Arial" w:cs="Arial"/>
          <w:color w:val="000000"/>
          <w:sz w:val="24"/>
          <w:szCs w:val="24"/>
        </w:rPr>
        <w:t>diesbezüglichen Hinweise des Mini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steriums für Umwelt und Verkehr </w:t>
      </w:r>
      <w:r>
        <w:rPr>
          <w:rFonts w:ascii="Arial" w:hAnsi="Arial" w:cs="Arial"/>
          <w:color w:val="000000"/>
          <w:sz w:val="24"/>
          <w:szCs w:val="24"/>
        </w:rPr>
        <w:t>Baden-Württemberg, insbesondere zum Bereich Asphalt.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In Bezug auf die Energieeffizienz von Gebäuden und technischen An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lagen </w:t>
      </w:r>
      <w:r>
        <w:rPr>
          <w:rFonts w:ascii="Arial" w:hAnsi="Arial" w:cs="Arial"/>
          <w:color w:val="000000"/>
          <w:sz w:val="24"/>
          <w:szCs w:val="24"/>
        </w:rPr>
        <w:t>ist mindestens der Standard der jewe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ils aktuellen EnEV einzuhalten; </w:t>
      </w:r>
      <w:r>
        <w:rPr>
          <w:rFonts w:ascii="Arial" w:hAnsi="Arial" w:cs="Arial"/>
          <w:color w:val="000000"/>
          <w:sz w:val="24"/>
          <w:szCs w:val="24"/>
        </w:rPr>
        <w:t>soweit möglich soll die Einhaltung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 kommender Standards angestrebt </w:t>
      </w:r>
      <w:r>
        <w:rPr>
          <w:rFonts w:ascii="Arial" w:hAnsi="Arial" w:cs="Arial"/>
          <w:color w:val="000000"/>
          <w:sz w:val="24"/>
          <w:szCs w:val="24"/>
        </w:rPr>
        <w:t>werden.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Bei technischen Anlagen und Antrieb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en ist eine Überdimensionierung </w:t>
      </w:r>
      <w:r>
        <w:rPr>
          <w:rFonts w:ascii="Arial" w:hAnsi="Arial" w:cs="Arial"/>
          <w:color w:val="000000"/>
          <w:sz w:val="24"/>
          <w:szCs w:val="24"/>
        </w:rPr>
        <w:t>auf jeden Fall zu vermeiden.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Die Nutzung regenerativer Energien u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nd Anwendung neuer Technologien </w:t>
      </w:r>
      <w:r>
        <w:rPr>
          <w:rFonts w:ascii="Arial" w:hAnsi="Arial" w:cs="Arial"/>
          <w:color w:val="000000"/>
          <w:sz w:val="24"/>
          <w:szCs w:val="24"/>
        </w:rPr>
        <w:t>(u.a. Solarenergie, Wärmepumpen, Biomasse) sind stets zu prüfen.</w:t>
      </w:r>
    </w:p>
    <w:p w:rsidR="007A32FB" w:rsidRPr="001F3E08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Es ist zu prüfen, ob Regenwasser und Ab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wasser sinnvoll weiterverwendet </w:t>
      </w:r>
      <w:r>
        <w:rPr>
          <w:rFonts w:ascii="Arial" w:hAnsi="Arial" w:cs="Arial"/>
          <w:color w:val="000000"/>
          <w:sz w:val="24"/>
          <w:szCs w:val="24"/>
        </w:rPr>
        <w:t>werden können, z.B. zur Untergrundbewässerung, Toilettensp</w:t>
      </w:r>
      <w:r w:rsidR="001F3E08">
        <w:rPr>
          <w:rFonts w:ascii="Arial" w:hAnsi="Arial" w:cs="Arial"/>
          <w:color w:val="000000"/>
          <w:sz w:val="24"/>
          <w:szCs w:val="24"/>
        </w:rPr>
        <w:t>ülung, als Düngemittel o.ä.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Die Gebäudehülle sollte möglichst effizient sein (Fenster, Dämmung).</w:t>
      </w:r>
    </w:p>
    <w:p w:rsidR="00510692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Bei Mietgebäuden soll die Vorlage 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eines Energieausweises verlangt </w:t>
      </w:r>
      <w:r>
        <w:rPr>
          <w:rFonts w:ascii="Arial" w:hAnsi="Arial" w:cs="Arial"/>
          <w:color w:val="000000"/>
          <w:sz w:val="24"/>
          <w:szCs w:val="24"/>
        </w:rPr>
        <w:t xml:space="preserve">werden. Es ist darauf zu achten, 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dass die energetischen Vorgaben </w:t>
      </w:r>
      <w:r>
        <w:rPr>
          <w:rFonts w:ascii="Arial" w:hAnsi="Arial" w:cs="Arial"/>
          <w:color w:val="000000"/>
          <w:sz w:val="24"/>
          <w:szCs w:val="24"/>
        </w:rPr>
        <w:t>bestmöglich eingehalten werden.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A32FB" w:rsidRDefault="007A32FB" w:rsidP="001F3E08">
      <w:pPr>
        <w:pStyle w:val="berschrift1"/>
      </w:pPr>
      <w:bookmarkStart w:id="15" w:name="_Toc57041617"/>
      <w:r>
        <w:t>6. Schlussbestimmungen</w:t>
      </w:r>
      <w:bookmarkEnd w:id="15"/>
    </w:p>
    <w:p w:rsidR="001F3E08" w:rsidRDefault="001F3E08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Alle Mitarbeiter sind über das Intranet auf die „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Dienstanweisung für eine umweltgerechte </w:t>
      </w:r>
      <w:r w:rsidRPr="00B03CEB">
        <w:rPr>
          <w:rFonts w:ascii="Arial" w:hAnsi="Arial" w:cs="Arial"/>
          <w:color w:val="000000"/>
          <w:sz w:val="24"/>
          <w:szCs w:val="24"/>
          <w:highlight w:val="yellow"/>
        </w:rPr>
        <w:t xml:space="preserve">Beschaffung </w:t>
      </w:r>
      <w:r w:rsidR="00B03CEB" w:rsidRPr="00B03CEB">
        <w:rPr>
          <w:rFonts w:ascii="Arial" w:hAnsi="Arial" w:cs="Arial"/>
          <w:color w:val="000000"/>
          <w:sz w:val="24"/>
          <w:szCs w:val="24"/>
          <w:highlight w:val="yellow"/>
        </w:rPr>
        <w:t>in der Mustergemeinde</w:t>
      </w:r>
      <w:r>
        <w:rPr>
          <w:rFonts w:ascii="Arial" w:hAnsi="Arial" w:cs="Arial"/>
          <w:color w:val="000000"/>
          <w:sz w:val="24"/>
          <w:szCs w:val="24"/>
        </w:rPr>
        <w:t>“ aufmerksam zu machen.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Verstöße gegen diese Dienstanweisung können zu arbeitsrechtlichen bzw</w:t>
      </w:r>
      <w:r w:rsidR="001F3E08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dienstrechtlichen Folgen führen.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Die Rechte des Personalrats wurden gewahrt.</w:t>
      </w:r>
    </w:p>
    <w:p w:rsidR="007A32FB" w:rsidRDefault="007A32FB" w:rsidP="007A32F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Diese Dienstanweisung tritt am xx.xx.20xx in Kraft</w:t>
      </w:r>
    </w:p>
    <w:p w:rsidR="007A32FB" w:rsidRDefault="007A32FB" w:rsidP="007A32F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50FC0" w:rsidRDefault="007A32FB" w:rsidP="007A32FB">
      <w:pPr>
        <w:jc w:val="both"/>
      </w:pPr>
      <w:r w:rsidRPr="00B03CEB">
        <w:rPr>
          <w:rFonts w:ascii="Arial" w:hAnsi="Arial" w:cs="Arial"/>
          <w:color w:val="000000"/>
          <w:sz w:val="24"/>
          <w:szCs w:val="24"/>
          <w:highlight w:val="yellow"/>
        </w:rPr>
        <w:t xml:space="preserve">Rottweil, den </w:t>
      </w:r>
      <w:proofErr w:type="spellStart"/>
      <w:r w:rsidR="00424859" w:rsidRPr="00B03CEB">
        <w:rPr>
          <w:rFonts w:ascii="Arial" w:hAnsi="Arial" w:cs="Arial"/>
          <w:color w:val="000000"/>
          <w:sz w:val="24"/>
          <w:szCs w:val="24"/>
          <w:highlight w:val="yellow"/>
        </w:rPr>
        <w:t>xx</w:t>
      </w:r>
      <w:r w:rsidRPr="00B03CEB">
        <w:rPr>
          <w:rFonts w:ascii="Arial" w:hAnsi="Arial" w:cs="Arial"/>
          <w:color w:val="000000"/>
          <w:sz w:val="24"/>
          <w:szCs w:val="24"/>
          <w:highlight w:val="yellow"/>
        </w:rPr>
        <w:t>.</w:t>
      </w:r>
      <w:proofErr w:type="gramStart"/>
      <w:r w:rsidR="00424859" w:rsidRPr="00B03CEB">
        <w:rPr>
          <w:rFonts w:ascii="Arial" w:hAnsi="Arial" w:cs="Arial"/>
          <w:color w:val="000000"/>
          <w:sz w:val="24"/>
          <w:szCs w:val="24"/>
          <w:highlight w:val="yellow"/>
        </w:rPr>
        <w:t>xx</w:t>
      </w:r>
      <w:r w:rsidRPr="00B03CEB">
        <w:rPr>
          <w:rFonts w:ascii="Arial" w:hAnsi="Arial" w:cs="Arial"/>
          <w:color w:val="000000"/>
          <w:sz w:val="24"/>
          <w:szCs w:val="24"/>
          <w:highlight w:val="yellow"/>
        </w:rPr>
        <w:t>.</w:t>
      </w:r>
      <w:r w:rsidR="00424859" w:rsidRPr="00B03CEB">
        <w:rPr>
          <w:rFonts w:ascii="Arial" w:hAnsi="Arial" w:cs="Arial"/>
          <w:color w:val="000000"/>
          <w:sz w:val="24"/>
          <w:szCs w:val="24"/>
          <w:highlight w:val="yellow"/>
        </w:rPr>
        <w:t>xxxx</w:t>
      </w:r>
      <w:proofErr w:type="spellEnd"/>
      <w:proofErr w:type="gramEnd"/>
    </w:p>
    <w:sectPr w:rsidR="00650F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FB"/>
    <w:rsid w:val="001F3E08"/>
    <w:rsid w:val="00424859"/>
    <w:rsid w:val="004C44D0"/>
    <w:rsid w:val="00510692"/>
    <w:rsid w:val="00650FC0"/>
    <w:rsid w:val="007061D1"/>
    <w:rsid w:val="007A32FB"/>
    <w:rsid w:val="009B6E8C"/>
    <w:rsid w:val="00B03CEB"/>
    <w:rsid w:val="00D23234"/>
    <w:rsid w:val="00FA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597B"/>
  <w15:chartTrackingRefBased/>
  <w15:docId w15:val="{8E48618C-8730-48D8-8089-A198790D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61D1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61D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32F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061D1"/>
    <w:rPr>
      <w:rFonts w:ascii="Arial" w:eastAsiaTheme="majorEastAsia" w:hAnsi="Arial" w:cstheme="majorBidi"/>
      <w:b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A0272"/>
    <w:pPr>
      <w:spacing w:line="259" w:lineRule="auto"/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FA0272"/>
    <w:pPr>
      <w:spacing w:after="100" w:line="259" w:lineRule="auto"/>
      <w:ind w:left="220"/>
    </w:pPr>
    <w:rPr>
      <w:rFonts w:eastAsiaTheme="minorEastAsia" w:cs="Times New Roman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A0272"/>
    <w:pPr>
      <w:spacing w:after="100" w:line="259" w:lineRule="auto"/>
    </w:pPr>
    <w:rPr>
      <w:rFonts w:eastAsiaTheme="minorEastAsia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FA0272"/>
    <w:pPr>
      <w:spacing w:after="100" w:line="259" w:lineRule="auto"/>
      <w:ind w:left="440"/>
    </w:pPr>
    <w:rPr>
      <w:rFonts w:eastAsiaTheme="minorEastAsia" w:cs="Times New Roman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61D1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706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18FC-25AB-4114-91CA-9316E20A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Rottweil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Stolarczyk, Roland</dc:creator>
  <cp:keywords/>
  <dc:description/>
  <cp:lastModifiedBy>Stolarczyk, Roland</cp:lastModifiedBy>
  <cp:revision>8</cp:revision>
  <dcterms:created xsi:type="dcterms:W3CDTF">2020-11-23T15:03:00Z</dcterms:created>
  <dcterms:modified xsi:type="dcterms:W3CDTF">2021-02-02T17:20:00Z</dcterms:modified>
</cp:coreProperties>
</file>